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1619CA" w:rsidRDefault="001619CA">
      <w:pPr>
        <w:spacing w:line="259" w:lineRule="auto"/>
      </w:pPr>
      <w:bookmarkStart w:id="0" w:name="_GoBack"/>
      <w:bookmarkEnd w:id="0"/>
    </w:p>
    <w:p w14:paraId="00000002" w14:textId="77777777" w:rsidR="001619CA" w:rsidRDefault="001619CA">
      <w:pPr>
        <w:spacing w:line="259" w:lineRule="auto"/>
        <w:jc w:val="center"/>
        <w:rPr>
          <w:b/>
          <w:sz w:val="32"/>
          <w:szCs w:val="32"/>
        </w:rPr>
      </w:pPr>
    </w:p>
    <w:p w14:paraId="00000003" w14:textId="77777777" w:rsidR="001619CA" w:rsidRDefault="001619CA">
      <w:pPr>
        <w:spacing w:line="259" w:lineRule="auto"/>
        <w:jc w:val="center"/>
        <w:rPr>
          <w:b/>
          <w:sz w:val="32"/>
          <w:szCs w:val="32"/>
        </w:rPr>
      </w:pPr>
    </w:p>
    <w:p w14:paraId="00000004" w14:textId="77777777" w:rsidR="001619CA" w:rsidRDefault="001619CA">
      <w:pPr>
        <w:spacing w:line="259" w:lineRule="auto"/>
        <w:jc w:val="center"/>
        <w:rPr>
          <w:b/>
          <w:sz w:val="32"/>
          <w:szCs w:val="32"/>
        </w:rPr>
      </w:pPr>
    </w:p>
    <w:p w14:paraId="00000005" w14:textId="77777777" w:rsidR="001619CA" w:rsidRDefault="001619CA">
      <w:pPr>
        <w:spacing w:line="259" w:lineRule="auto"/>
        <w:jc w:val="center"/>
        <w:rPr>
          <w:b/>
          <w:sz w:val="32"/>
          <w:szCs w:val="32"/>
        </w:rPr>
      </w:pPr>
    </w:p>
    <w:p w14:paraId="00000006" w14:textId="77777777" w:rsidR="001619CA" w:rsidRDefault="001619CA">
      <w:pPr>
        <w:spacing w:line="259" w:lineRule="auto"/>
        <w:jc w:val="center"/>
        <w:rPr>
          <w:b/>
          <w:sz w:val="32"/>
          <w:szCs w:val="32"/>
        </w:rPr>
      </w:pPr>
    </w:p>
    <w:p w14:paraId="00000007" w14:textId="77777777" w:rsidR="001619CA" w:rsidRDefault="001619CA">
      <w:pPr>
        <w:spacing w:line="259" w:lineRule="auto"/>
        <w:jc w:val="center"/>
        <w:rPr>
          <w:b/>
          <w:sz w:val="32"/>
          <w:szCs w:val="32"/>
        </w:rPr>
      </w:pPr>
    </w:p>
    <w:p w14:paraId="00000008" w14:textId="77777777" w:rsidR="001619CA" w:rsidRDefault="001619CA">
      <w:pPr>
        <w:spacing w:line="259" w:lineRule="auto"/>
        <w:jc w:val="center"/>
        <w:rPr>
          <w:b/>
          <w:sz w:val="32"/>
          <w:szCs w:val="32"/>
        </w:rPr>
      </w:pPr>
    </w:p>
    <w:p w14:paraId="00000009" w14:textId="77777777" w:rsidR="001619CA" w:rsidRDefault="001619CA">
      <w:pPr>
        <w:spacing w:line="259" w:lineRule="auto"/>
        <w:jc w:val="center"/>
        <w:rPr>
          <w:b/>
          <w:sz w:val="32"/>
          <w:szCs w:val="32"/>
        </w:rPr>
      </w:pPr>
    </w:p>
    <w:p w14:paraId="0000000A" w14:textId="77777777" w:rsidR="001619CA" w:rsidRDefault="001619CA">
      <w:pPr>
        <w:spacing w:line="259" w:lineRule="auto"/>
        <w:jc w:val="center"/>
        <w:rPr>
          <w:b/>
          <w:sz w:val="32"/>
          <w:szCs w:val="32"/>
        </w:rPr>
      </w:pPr>
    </w:p>
    <w:p w14:paraId="0000000B" w14:textId="77777777" w:rsidR="001619CA" w:rsidRDefault="00225393">
      <w:pPr>
        <w:spacing w:line="259" w:lineRule="auto"/>
        <w:jc w:val="center"/>
        <w:rPr>
          <w:b/>
          <w:sz w:val="28"/>
          <w:szCs w:val="28"/>
        </w:rPr>
      </w:pPr>
      <w:r>
        <w:rPr>
          <w:b/>
          <w:sz w:val="32"/>
          <w:szCs w:val="32"/>
        </w:rPr>
        <w:t>CRITICAL ANALYSIS</w:t>
      </w:r>
      <w:r>
        <w:br w:type="page"/>
      </w:r>
    </w:p>
    <w:p w14:paraId="0000000C" w14:textId="77777777" w:rsidR="001619CA" w:rsidRDefault="00225393">
      <w:pPr>
        <w:keepNext/>
        <w:keepLines/>
        <w:pBdr>
          <w:top w:val="nil"/>
          <w:left w:val="nil"/>
          <w:bottom w:val="nil"/>
          <w:right w:val="nil"/>
          <w:between w:val="nil"/>
        </w:pBdr>
        <w:spacing w:before="280" w:after="280"/>
        <w:jc w:val="center"/>
        <w:rPr>
          <w:b/>
          <w:color w:val="000000"/>
          <w:sz w:val="28"/>
          <w:szCs w:val="28"/>
        </w:rPr>
      </w:pPr>
      <w:r>
        <w:rPr>
          <w:b/>
          <w:color w:val="000000"/>
          <w:sz w:val="28"/>
          <w:szCs w:val="28"/>
        </w:rPr>
        <w:lastRenderedPageBreak/>
        <w:t>Table of Contents</w:t>
      </w:r>
    </w:p>
    <w:sdt>
      <w:sdtPr>
        <w:id w:val="-1334840688"/>
        <w:docPartObj>
          <w:docPartGallery w:val="Table of Contents"/>
          <w:docPartUnique/>
        </w:docPartObj>
      </w:sdtPr>
      <w:sdtEndPr/>
      <w:sdtContent>
        <w:p w14:paraId="0000000D" w14:textId="77777777" w:rsidR="001619CA" w:rsidRDefault="00225393">
          <w:pPr>
            <w:pBdr>
              <w:top w:val="nil"/>
              <w:left w:val="nil"/>
              <w:bottom w:val="nil"/>
              <w:right w:val="nil"/>
              <w:between w:val="nil"/>
            </w:pBdr>
            <w:tabs>
              <w:tab w:val="right" w:pos="9016"/>
            </w:tabs>
            <w:spacing w:after="100"/>
            <w:rPr>
              <w:rFonts w:ascii="Calibri" w:eastAsia="Calibri" w:hAnsi="Calibri" w:cs="Calibri"/>
              <w:color w:val="000000"/>
              <w:sz w:val="22"/>
              <w:szCs w:val="22"/>
            </w:rPr>
          </w:pPr>
          <w:r>
            <w:fldChar w:fldCharType="begin"/>
          </w:r>
          <w:r>
            <w:instrText xml:space="preserve"> TOC \h \u \z </w:instrText>
          </w:r>
          <w:r>
            <w:fldChar w:fldCharType="separate"/>
          </w:r>
          <w:hyperlink w:anchor="_heading=h.gjdgxs">
            <w:r>
              <w:rPr>
                <w:color w:val="000000"/>
              </w:rPr>
              <w:t>Introduction</w:t>
            </w:r>
            <w:r>
              <w:rPr>
                <w:color w:val="000000"/>
              </w:rPr>
              <w:tab/>
              <w:t>2</w:t>
            </w:r>
          </w:hyperlink>
        </w:p>
        <w:p w14:paraId="0000000E" w14:textId="77777777" w:rsidR="001619CA" w:rsidRDefault="000D5F2D">
          <w:pPr>
            <w:pBdr>
              <w:top w:val="nil"/>
              <w:left w:val="nil"/>
              <w:bottom w:val="nil"/>
              <w:right w:val="nil"/>
              <w:between w:val="nil"/>
            </w:pBdr>
            <w:tabs>
              <w:tab w:val="right" w:pos="9016"/>
            </w:tabs>
            <w:spacing w:after="100"/>
            <w:rPr>
              <w:rFonts w:ascii="Calibri" w:eastAsia="Calibri" w:hAnsi="Calibri" w:cs="Calibri"/>
              <w:color w:val="000000"/>
              <w:sz w:val="22"/>
              <w:szCs w:val="22"/>
            </w:rPr>
          </w:pPr>
          <w:hyperlink w:anchor="_heading=h.30j0zll">
            <w:r w:rsidR="00225393">
              <w:rPr>
                <w:color w:val="000000"/>
              </w:rPr>
              <w:t>Rationale</w:t>
            </w:r>
            <w:r w:rsidR="00225393">
              <w:rPr>
                <w:color w:val="000000"/>
              </w:rPr>
              <w:tab/>
              <w:t>2</w:t>
            </w:r>
          </w:hyperlink>
        </w:p>
        <w:p w14:paraId="0000000F" w14:textId="77777777" w:rsidR="001619CA" w:rsidRDefault="000D5F2D">
          <w:pPr>
            <w:pBdr>
              <w:top w:val="nil"/>
              <w:left w:val="nil"/>
              <w:bottom w:val="nil"/>
              <w:right w:val="nil"/>
              <w:between w:val="nil"/>
            </w:pBdr>
            <w:tabs>
              <w:tab w:val="right" w:pos="9016"/>
            </w:tabs>
            <w:spacing w:after="100"/>
            <w:rPr>
              <w:rFonts w:ascii="Calibri" w:eastAsia="Calibri" w:hAnsi="Calibri" w:cs="Calibri"/>
              <w:color w:val="000000"/>
              <w:sz w:val="22"/>
              <w:szCs w:val="22"/>
            </w:rPr>
          </w:pPr>
          <w:hyperlink w:anchor="_heading=h.1fob9te">
            <w:r w:rsidR="00225393">
              <w:rPr>
                <w:color w:val="000000"/>
              </w:rPr>
              <w:t>Critical analysis</w:t>
            </w:r>
            <w:r w:rsidR="00225393">
              <w:rPr>
                <w:color w:val="000000"/>
              </w:rPr>
              <w:tab/>
              <w:t>2</w:t>
            </w:r>
          </w:hyperlink>
        </w:p>
        <w:p w14:paraId="00000010" w14:textId="77777777" w:rsidR="001619CA" w:rsidRDefault="000D5F2D">
          <w:pPr>
            <w:pBdr>
              <w:top w:val="nil"/>
              <w:left w:val="nil"/>
              <w:bottom w:val="nil"/>
              <w:right w:val="nil"/>
              <w:between w:val="nil"/>
            </w:pBdr>
            <w:tabs>
              <w:tab w:val="right" w:pos="9016"/>
            </w:tabs>
            <w:spacing w:after="100"/>
            <w:rPr>
              <w:rFonts w:ascii="Calibri" w:eastAsia="Calibri" w:hAnsi="Calibri" w:cs="Calibri"/>
              <w:color w:val="000000"/>
              <w:sz w:val="22"/>
              <w:szCs w:val="22"/>
            </w:rPr>
          </w:pPr>
          <w:hyperlink w:anchor="_heading=h.3znysh7">
            <w:r w:rsidR="00225393">
              <w:rPr>
                <w:color w:val="000000"/>
              </w:rPr>
              <w:t>Conclusion</w:t>
            </w:r>
            <w:r w:rsidR="00225393">
              <w:rPr>
                <w:color w:val="000000"/>
              </w:rPr>
              <w:tab/>
              <w:t>3</w:t>
            </w:r>
          </w:hyperlink>
        </w:p>
        <w:p w14:paraId="00000011" w14:textId="77777777" w:rsidR="001619CA" w:rsidRDefault="000D5F2D">
          <w:pPr>
            <w:pBdr>
              <w:top w:val="nil"/>
              <w:left w:val="nil"/>
              <w:bottom w:val="nil"/>
              <w:right w:val="nil"/>
              <w:between w:val="nil"/>
            </w:pBdr>
            <w:tabs>
              <w:tab w:val="right" w:pos="9016"/>
            </w:tabs>
            <w:spacing w:after="100"/>
            <w:rPr>
              <w:rFonts w:ascii="Calibri" w:eastAsia="Calibri" w:hAnsi="Calibri" w:cs="Calibri"/>
              <w:color w:val="000000"/>
              <w:sz w:val="22"/>
              <w:szCs w:val="22"/>
            </w:rPr>
          </w:pPr>
          <w:hyperlink w:anchor="_heading=h.2et92p0">
            <w:r w:rsidR="00225393">
              <w:rPr>
                <w:color w:val="000000"/>
              </w:rPr>
              <w:t>References</w:t>
            </w:r>
            <w:r w:rsidR="00225393">
              <w:rPr>
                <w:color w:val="000000"/>
              </w:rPr>
              <w:tab/>
              <w:t>4</w:t>
            </w:r>
          </w:hyperlink>
        </w:p>
        <w:p w14:paraId="00000012" w14:textId="77777777" w:rsidR="001619CA" w:rsidRDefault="00225393">
          <w:r>
            <w:fldChar w:fldCharType="end"/>
          </w:r>
        </w:p>
      </w:sdtContent>
    </w:sdt>
    <w:p w14:paraId="00000013" w14:textId="77777777" w:rsidR="001619CA" w:rsidRDefault="00225393">
      <w:pPr>
        <w:spacing w:line="259" w:lineRule="auto"/>
        <w:rPr>
          <w:b/>
          <w:sz w:val="28"/>
          <w:szCs w:val="28"/>
        </w:rPr>
      </w:pPr>
      <w:r>
        <w:br w:type="page"/>
      </w:r>
    </w:p>
    <w:p w14:paraId="00000014" w14:textId="77777777" w:rsidR="001619CA" w:rsidRDefault="00225393">
      <w:pPr>
        <w:pStyle w:val="Heading1"/>
        <w:rPr>
          <w:sz w:val="48"/>
        </w:rPr>
      </w:pPr>
      <w:bookmarkStart w:id="1" w:name="_heading=h.gjdgxs" w:colFirst="0" w:colLast="0"/>
      <w:bookmarkEnd w:id="1"/>
      <w:r>
        <w:lastRenderedPageBreak/>
        <w:t xml:space="preserve">Introduction </w:t>
      </w:r>
    </w:p>
    <w:p w14:paraId="00000015" w14:textId="710065DD" w:rsidR="001619CA" w:rsidRDefault="00225393">
      <w:pPr>
        <w:spacing w:after="0"/>
        <w:ind w:firstLine="720"/>
      </w:pPr>
      <w:r>
        <w:rPr>
          <w:color w:val="000000"/>
        </w:rPr>
        <w:t xml:space="preserve">According to </w:t>
      </w:r>
      <w:proofErr w:type="spellStart"/>
      <w:r>
        <w:rPr>
          <w:color w:val="000000"/>
        </w:rPr>
        <w:t>Moloney</w:t>
      </w:r>
      <w:proofErr w:type="spellEnd"/>
      <w:r>
        <w:rPr>
          <w:color w:val="000000"/>
        </w:rPr>
        <w:t xml:space="preserve"> et al., (2018), the nursing workforce forms the largest Healthcare professional group in New Zealand. However, the recent precipitated workload has eventually reduced the participation of nurses’ causes increased stress levels. Therefore, New Zealand is facing a contemporary Public Health Care (PHC) issue where a reduced number of educated nursing staff </w:t>
      </w:r>
      <w:proofErr w:type="gramStart"/>
      <w:r>
        <w:rPr>
          <w:color w:val="000000"/>
        </w:rPr>
        <w:t>are</w:t>
      </w:r>
      <w:proofErr w:type="gramEnd"/>
      <w:r>
        <w:rPr>
          <w:color w:val="000000"/>
        </w:rPr>
        <w:t xml:space="preserve"> found.</w:t>
      </w:r>
      <w:r w:rsidR="006B6F08">
        <w:rPr>
          <w:color w:val="000000"/>
        </w:rPr>
        <w:t xml:space="preserve"> </w:t>
      </w:r>
      <w:r w:rsidR="006B6F08" w:rsidRPr="006B6F08">
        <w:rPr>
          <w:color w:val="000000"/>
          <w:highlight w:val="yellow"/>
        </w:rPr>
        <w:t>Cultural imbalance can be considered as a reason for the outflow of nurses from New Zealand.</w:t>
      </w:r>
      <w:r w:rsidR="00244689" w:rsidRPr="00244689">
        <w:rPr>
          <w:color w:val="000000"/>
        </w:rPr>
        <w:t xml:space="preserve"> </w:t>
      </w:r>
      <w:r w:rsidR="00244689" w:rsidRPr="00244689">
        <w:rPr>
          <w:color w:val="000000"/>
          <w:highlight w:val="yellow"/>
        </w:rPr>
        <w:t>The decreasing number of nurses in New Zealand due to global outflow has been chosen as the contemporary issue since it is becoming a rising concern. The identified contemporary with the aspect of nurse force is significant since they form the most trusted Healthcare professional in the country. Moreover, healthcare in New Zealand is considered to be excellent which is somehow being affected due to the reduced nurses. Therefore the paper will add value to the comprehensive Health Care facilities available in New Zealand.</w:t>
      </w:r>
    </w:p>
    <w:p w14:paraId="00000016" w14:textId="77777777" w:rsidR="001619CA" w:rsidRDefault="00225393">
      <w:pPr>
        <w:pStyle w:val="Heading1"/>
        <w:rPr>
          <w:sz w:val="48"/>
        </w:rPr>
      </w:pPr>
      <w:bookmarkStart w:id="2" w:name="_heading=h.30j0zll" w:colFirst="0" w:colLast="0"/>
      <w:bookmarkEnd w:id="2"/>
      <w:r>
        <w:t xml:space="preserve">Rationale </w:t>
      </w:r>
    </w:p>
    <w:p w14:paraId="00000017" w14:textId="0DE97EFC" w:rsidR="001619CA" w:rsidRDefault="00225393">
      <w:pPr>
        <w:spacing w:after="0"/>
        <w:ind w:firstLine="720"/>
      </w:pPr>
      <w:r>
        <w:rPr>
          <w:color w:val="222222"/>
          <w:highlight w:val="white"/>
        </w:rPr>
        <w:t xml:space="preserve">Identification of a definite rationale behind the lack of nurses in the country might incorporate the significance of cultural competency and safety at the organizational as well as individual practitioner level. The study by </w:t>
      </w:r>
      <w:r>
        <w:rPr>
          <w:color w:val="000000"/>
        </w:rPr>
        <w:t>Curtis et al., (2019) identifies that the power structure track takes health practitioners for granted. Therefore</w:t>
      </w:r>
      <w:r w:rsidR="006B6F08">
        <w:rPr>
          <w:color w:val="000000"/>
        </w:rPr>
        <w:t>,</w:t>
      </w:r>
      <w:r>
        <w:rPr>
          <w:color w:val="000000"/>
        </w:rPr>
        <w:t xml:space="preserve"> the nurse workforce pushes themselves in accomplishing the superior cultural competency of others. The lack of health equity that attracts cultural insecurity forms a major reason for New Zealand nurses to outflow in the Global market where they receive equally respectable status.</w:t>
      </w:r>
      <w:r>
        <w:t xml:space="preserve"> </w:t>
      </w:r>
      <w:r>
        <w:rPr>
          <w:highlight w:val="yellow"/>
        </w:rPr>
        <w:t xml:space="preserve">Cultural safety forms a tremendous impact on the nursing practices in New Zealand that concerns the individual or family from another culture. The culture not only influences the health practices </w:t>
      </w:r>
      <w:r>
        <w:rPr>
          <w:highlight w:val="yellow"/>
        </w:rPr>
        <w:lastRenderedPageBreak/>
        <w:t xml:space="preserve">but also reflects the manner in which the patient and the health care provider </w:t>
      </w:r>
      <w:proofErr w:type="gramStart"/>
      <w:r>
        <w:rPr>
          <w:highlight w:val="yellow"/>
        </w:rPr>
        <w:t>perceives</w:t>
      </w:r>
      <w:proofErr w:type="gramEnd"/>
      <w:r>
        <w:rPr>
          <w:highlight w:val="yellow"/>
        </w:rPr>
        <w:t xml:space="preserve"> sickness. The existence of cultural safety in New Zealand matters to the nursing staff since they provide care to the patients on the basis of their own assumptions and culture.</w:t>
      </w:r>
      <w:r>
        <w:rPr>
          <w:color w:val="000000"/>
        </w:rPr>
        <w:t xml:space="preserve"> The financial factors in New Zealand also affect the transition of nurses. </w:t>
      </w:r>
      <w:proofErr w:type="spellStart"/>
      <w:r>
        <w:rPr>
          <w:color w:val="000000"/>
        </w:rPr>
        <w:t>Moloney</w:t>
      </w:r>
      <w:proofErr w:type="spellEnd"/>
      <w:r>
        <w:rPr>
          <w:color w:val="000000"/>
        </w:rPr>
        <w:t xml:space="preserve"> et al., (2018), highlighted that 91% of the nurses in New Zealand consist of women who possess family responsibilities that might interfere with their work. The studies also added that job dissatisfaction is strongly increasing nurse turnover. Besides these reasons, a better opportunity available in other parts of the globe attracts nurses increasing global outflow.</w:t>
      </w:r>
      <w:r w:rsidR="006B6F08">
        <w:rPr>
          <w:color w:val="000000"/>
        </w:rPr>
        <w:t xml:space="preserve"> </w:t>
      </w:r>
      <w:r w:rsidR="006B6F08" w:rsidRPr="006B6F08">
        <w:rPr>
          <w:color w:val="000000"/>
          <w:highlight w:val="yellow"/>
        </w:rPr>
        <w:t>The PHC in the country needs to focus more on the culturally responsive in the healthcare organisations to eliminate such issues.</w:t>
      </w:r>
    </w:p>
    <w:p w14:paraId="00000018" w14:textId="77777777" w:rsidR="001619CA" w:rsidRDefault="00225393">
      <w:pPr>
        <w:pStyle w:val="Heading1"/>
        <w:rPr>
          <w:sz w:val="48"/>
        </w:rPr>
      </w:pPr>
      <w:bookmarkStart w:id="3" w:name="_heading=h.1fob9te" w:colFirst="0" w:colLast="0"/>
      <w:bookmarkEnd w:id="3"/>
      <w:r>
        <w:t xml:space="preserve">Critical analysis </w:t>
      </w:r>
    </w:p>
    <w:p w14:paraId="00000019" w14:textId="77777777" w:rsidR="001619CA" w:rsidRDefault="00225393">
      <w:pPr>
        <w:ind w:firstLine="720"/>
        <w:rPr>
          <w:b/>
          <w:sz w:val="48"/>
          <w:szCs w:val="48"/>
        </w:rPr>
      </w:pPr>
      <w:r>
        <w:t xml:space="preserve">A sufficient number of nurses not only ensure that the </w:t>
      </w:r>
      <w:proofErr w:type="gramStart"/>
      <w:r>
        <w:t>patients are being treated appropriately but also strengthens</w:t>
      </w:r>
      <w:proofErr w:type="gramEnd"/>
      <w:r>
        <w:t xml:space="preserve"> the overall healthcare system. The national healthcare settings can be transformed to be resilient if the nurses are managed properly. New Zealand faces a significant issue with the number of nurses as the national turnover rate of the nurses is very high in the country. Despite the need, the healthcare sector of New Zealand faces several issues. According to Perry, (2020), the resilience strategy for the nurses is not properly built in the dynamic and challenging healthcare sector of New Zealand. The healthcare sector is constantly transforming. Therefore, it is important to accept change for development. Resilience can reduce stress and tension amongst the nurses in the nation with which they lack in their number can be fulfilled.</w:t>
      </w:r>
    </w:p>
    <w:p w14:paraId="0000001A" w14:textId="77777777" w:rsidR="001619CA" w:rsidRDefault="00225393">
      <w:pPr>
        <w:spacing w:before="240" w:after="240"/>
        <w:ind w:firstLine="720"/>
      </w:pPr>
      <w:r>
        <w:rPr>
          <w:color w:val="000000"/>
        </w:rPr>
        <w:t xml:space="preserve">In the national structure of New Zealand, both the General Practitioners and the Nursing Practitioners contribute a lot to Public Health Care. In the rural areas of the country benefits for the nurses are not significant due to which a major population is not interested in </w:t>
      </w:r>
      <w:r>
        <w:rPr>
          <w:color w:val="000000"/>
        </w:rPr>
        <w:lastRenderedPageBreak/>
        <w:t xml:space="preserve">this profession. The aged and experienced nurses are observed to be leaving their jobs before time and many of the nurses migrate to other places where the opportunities are sufficient. Due to a lack in the number of nurses and a weakened nurse force, interaction with the patients is challenged that directly impacts the physical and mental health of the population. The shortage of nurses in the total workforce weakens the healthcare system (Adams &amp; </w:t>
      </w:r>
      <w:proofErr w:type="spellStart"/>
      <w:r>
        <w:rPr>
          <w:color w:val="000000"/>
        </w:rPr>
        <w:t>Carryer</w:t>
      </w:r>
      <w:proofErr w:type="spellEnd"/>
      <w:r>
        <w:rPr>
          <w:color w:val="000000"/>
        </w:rPr>
        <w:t>, 2019). Both the health and cultural safety of the population is harmed by this particular issue.</w:t>
      </w:r>
    </w:p>
    <w:p w14:paraId="0000001B" w14:textId="77777777" w:rsidR="001619CA" w:rsidRDefault="00225393">
      <w:pPr>
        <w:pStyle w:val="Heading1"/>
        <w:rPr>
          <w:sz w:val="48"/>
        </w:rPr>
      </w:pPr>
      <w:bookmarkStart w:id="4" w:name="_heading=h.3znysh7" w:colFirst="0" w:colLast="0"/>
      <w:bookmarkEnd w:id="4"/>
      <w:r>
        <w:t xml:space="preserve">Conclusion </w:t>
      </w:r>
    </w:p>
    <w:p w14:paraId="0000001C" w14:textId="77777777" w:rsidR="001619CA" w:rsidRDefault="00225393">
      <w:pPr>
        <w:spacing w:after="0"/>
        <w:ind w:firstLine="720"/>
      </w:pPr>
      <w:r>
        <w:rPr>
          <w:color w:val="000000"/>
        </w:rPr>
        <w:t>Stability and sustainability in the nursing workforce decrease vulnerability in the healthcare sector. By ensuring the cultural safety of the patients, high resilience can be built up in the national structure. With the help of an organized system and cooperation amongst the management and the staff, the nurse turnover rate can be reduced.  </w:t>
      </w:r>
    </w:p>
    <w:p w14:paraId="0000001D" w14:textId="77777777" w:rsidR="001619CA" w:rsidRDefault="00225393">
      <w:pPr>
        <w:spacing w:line="259" w:lineRule="auto"/>
        <w:rPr>
          <w:b/>
          <w:color w:val="000000"/>
          <w:sz w:val="28"/>
          <w:szCs w:val="28"/>
        </w:rPr>
      </w:pPr>
      <w:r>
        <w:br w:type="page"/>
      </w:r>
    </w:p>
    <w:p w14:paraId="0000001E" w14:textId="77777777" w:rsidR="001619CA" w:rsidRDefault="00225393">
      <w:pPr>
        <w:pStyle w:val="Heading1"/>
        <w:rPr>
          <w:sz w:val="48"/>
        </w:rPr>
      </w:pPr>
      <w:bookmarkStart w:id="5" w:name="_heading=h.2et92p0" w:colFirst="0" w:colLast="0"/>
      <w:bookmarkEnd w:id="5"/>
      <w:r>
        <w:lastRenderedPageBreak/>
        <w:t>References</w:t>
      </w:r>
    </w:p>
    <w:p w14:paraId="0000001F" w14:textId="77777777" w:rsidR="001619CA" w:rsidRDefault="00225393">
      <w:pPr>
        <w:ind w:left="720" w:hanging="720"/>
      </w:pPr>
      <w:r>
        <w:rPr>
          <w:color w:val="000000"/>
          <w:highlight w:val="white"/>
        </w:rPr>
        <w:t xml:space="preserve">Adams, S., &amp; </w:t>
      </w:r>
      <w:proofErr w:type="spellStart"/>
      <w:r>
        <w:rPr>
          <w:color w:val="000000"/>
          <w:highlight w:val="white"/>
        </w:rPr>
        <w:t>Carryer</w:t>
      </w:r>
      <w:proofErr w:type="spellEnd"/>
      <w:r>
        <w:rPr>
          <w:color w:val="000000"/>
          <w:highlight w:val="white"/>
        </w:rPr>
        <w:t xml:space="preserve">, J. (2019). </w:t>
      </w:r>
      <w:proofErr w:type="gramStart"/>
      <w:r>
        <w:rPr>
          <w:color w:val="000000"/>
          <w:highlight w:val="white"/>
        </w:rPr>
        <w:t>Establishing the nurse practitioner workforce in rural New Zealand: barriers and facilitators.</w:t>
      </w:r>
      <w:proofErr w:type="gramEnd"/>
      <w:r>
        <w:rPr>
          <w:color w:val="000000"/>
          <w:highlight w:val="white"/>
        </w:rPr>
        <w:t xml:space="preserve"> </w:t>
      </w:r>
      <w:r>
        <w:rPr>
          <w:i/>
          <w:color w:val="000000"/>
        </w:rPr>
        <w:t xml:space="preserve">Journal </w:t>
      </w:r>
      <w:proofErr w:type="gramStart"/>
      <w:r>
        <w:rPr>
          <w:i/>
          <w:color w:val="000000"/>
        </w:rPr>
        <w:t>Of</w:t>
      </w:r>
      <w:proofErr w:type="gramEnd"/>
      <w:r>
        <w:rPr>
          <w:i/>
          <w:color w:val="000000"/>
        </w:rPr>
        <w:t xml:space="preserve"> Primary Health Care</w:t>
      </w:r>
      <w:r>
        <w:rPr>
          <w:color w:val="000000"/>
        </w:rPr>
        <w:t xml:space="preserve">, </w:t>
      </w:r>
      <w:r>
        <w:rPr>
          <w:i/>
          <w:color w:val="000000"/>
        </w:rPr>
        <w:t>11</w:t>
      </w:r>
      <w:r>
        <w:rPr>
          <w:color w:val="000000"/>
        </w:rPr>
        <w:t>(2), 152.</w:t>
      </w:r>
      <w:hyperlink r:id="rId8">
        <w:r>
          <w:rPr>
            <w:color w:val="000000"/>
            <w:u w:val="single"/>
          </w:rPr>
          <w:t xml:space="preserve"> </w:t>
        </w:r>
      </w:hyperlink>
      <w:hyperlink r:id="rId9">
        <w:r>
          <w:rPr>
            <w:color w:val="1155CC"/>
            <w:u w:val="single"/>
          </w:rPr>
          <w:t>https://doi.org/10.1071/hc18089</w:t>
        </w:r>
      </w:hyperlink>
    </w:p>
    <w:p w14:paraId="00000020" w14:textId="77777777" w:rsidR="001619CA" w:rsidRDefault="00225393">
      <w:pPr>
        <w:spacing w:after="0"/>
        <w:ind w:left="720" w:hanging="720"/>
      </w:pPr>
      <w:proofErr w:type="gramStart"/>
      <w:r>
        <w:rPr>
          <w:color w:val="000000"/>
        </w:rPr>
        <w:t xml:space="preserve">Curtis, E., Jones, R., </w:t>
      </w:r>
      <w:proofErr w:type="spellStart"/>
      <w:r>
        <w:rPr>
          <w:color w:val="000000"/>
        </w:rPr>
        <w:t>Tipene</w:t>
      </w:r>
      <w:proofErr w:type="spellEnd"/>
      <w:r>
        <w:rPr>
          <w:color w:val="000000"/>
        </w:rPr>
        <w:t xml:space="preserve">-Leach, D., Walker, C., </w:t>
      </w:r>
      <w:proofErr w:type="spellStart"/>
      <w:r>
        <w:rPr>
          <w:color w:val="000000"/>
        </w:rPr>
        <w:t>Loring</w:t>
      </w:r>
      <w:proofErr w:type="spellEnd"/>
      <w:r>
        <w:rPr>
          <w:color w:val="000000"/>
        </w:rPr>
        <w:t>, B., Paine, S., &amp; Reid, P. (2019).</w:t>
      </w:r>
      <w:proofErr w:type="gramEnd"/>
      <w:r>
        <w:rPr>
          <w:color w:val="000000"/>
        </w:rPr>
        <w:t xml:space="preserve"> Why cultural safety rather than cultural competency is required to achieve health equity: a literature review and recommended definition. International Journal </w:t>
      </w:r>
      <w:proofErr w:type="gramStart"/>
      <w:r>
        <w:rPr>
          <w:color w:val="000000"/>
        </w:rPr>
        <w:t>For</w:t>
      </w:r>
      <w:proofErr w:type="gramEnd"/>
      <w:r>
        <w:rPr>
          <w:color w:val="000000"/>
        </w:rPr>
        <w:t xml:space="preserve"> Equity In Health, 18(1). </w:t>
      </w:r>
      <w:hyperlink r:id="rId10">
        <w:r>
          <w:rPr>
            <w:color w:val="1155CC"/>
            <w:u w:val="single"/>
          </w:rPr>
          <w:t>https://doi.org/10.1186/s12939-019-1082-3</w:t>
        </w:r>
      </w:hyperlink>
    </w:p>
    <w:p w14:paraId="00000021" w14:textId="77777777" w:rsidR="001619CA" w:rsidRDefault="00225393">
      <w:pPr>
        <w:ind w:left="720" w:hanging="720"/>
      </w:pPr>
      <w:proofErr w:type="spellStart"/>
      <w:proofErr w:type="gramStart"/>
      <w:r>
        <w:t>Moloney</w:t>
      </w:r>
      <w:proofErr w:type="spellEnd"/>
      <w:r>
        <w:t>, W., Gorman, D., Parsons, M., &amp; Cheung, G. (2018).</w:t>
      </w:r>
      <w:proofErr w:type="gramEnd"/>
      <w:r>
        <w:t xml:space="preserve"> </w:t>
      </w:r>
      <w:proofErr w:type="gramStart"/>
      <w:r>
        <w:t>How to keep registered nurses working in New Zealand even as economic conditions improve.</w:t>
      </w:r>
      <w:proofErr w:type="gramEnd"/>
      <w:r>
        <w:t xml:space="preserve"> Human Resources </w:t>
      </w:r>
      <w:proofErr w:type="gramStart"/>
      <w:r>
        <w:t>For</w:t>
      </w:r>
      <w:proofErr w:type="gramEnd"/>
      <w:r>
        <w:t xml:space="preserve"> Health, 16(1). </w:t>
      </w:r>
      <w:hyperlink r:id="rId11">
        <w:r>
          <w:rPr>
            <w:color w:val="1155CC"/>
            <w:u w:val="single"/>
          </w:rPr>
          <w:t>https://doi.org/10.1186/s12960-018-0312-x</w:t>
        </w:r>
      </w:hyperlink>
    </w:p>
    <w:p w14:paraId="00000022" w14:textId="77777777" w:rsidR="001619CA" w:rsidRDefault="00225393">
      <w:pPr>
        <w:spacing w:before="240" w:after="240"/>
        <w:ind w:left="720" w:hanging="720"/>
      </w:pPr>
      <w:r>
        <w:rPr>
          <w:color w:val="000000"/>
          <w:highlight w:val="white"/>
        </w:rPr>
        <w:t xml:space="preserve">Perry, K. (2020). </w:t>
      </w:r>
      <w:proofErr w:type="gramStart"/>
      <w:r>
        <w:rPr>
          <w:color w:val="000000"/>
          <w:highlight w:val="white"/>
        </w:rPr>
        <w:t>NURSE RESILIENCE IN ACUTE CLINICAL SETTINGS.</w:t>
      </w:r>
      <w:proofErr w:type="gramEnd"/>
      <w:r>
        <w:rPr>
          <w:color w:val="000000"/>
          <w:highlight w:val="white"/>
        </w:rPr>
        <w:t xml:space="preserve"> </w:t>
      </w:r>
      <w:r>
        <w:rPr>
          <w:i/>
          <w:color w:val="000000"/>
        </w:rPr>
        <w:t>Scope (Health &amp; Wellbeing)</w:t>
      </w:r>
      <w:r>
        <w:rPr>
          <w:color w:val="000000"/>
        </w:rPr>
        <w:t xml:space="preserve">, </w:t>
      </w:r>
      <w:r>
        <w:rPr>
          <w:i/>
          <w:color w:val="000000"/>
        </w:rPr>
        <w:t>5</w:t>
      </w:r>
      <w:r>
        <w:rPr>
          <w:color w:val="000000"/>
        </w:rPr>
        <w:t>, 126-130.</w:t>
      </w:r>
      <w:hyperlink r:id="rId12">
        <w:r>
          <w:rPr>
            <w:color w:val="000000"/>
            <w:u w:val="single"/>
          </w:rPr>
          <w:t xml:space="preserve"> </w:t>
        </w:r>
      </w:hyperlink>
      <w:hyperlink r:id="rId13">
        <w:r>
          <w:rPr>
            <w:color w:val="1155CC"/>
            <w:u w:val="single"/>
          </w:rPr>
          <w:t>https://doi.org/10.34074/scop.3050018</w:t>
        </w:r>
      </w:hyperlink>
    </w:p>
    <w:sectPr w:rsidR="001619CA">
      <w:headerReference w:type="default" r:id="rId14"/>
      <w:headerReference w:type="first" r:id="rId15"/>
      <w:pgSz w:w="11906" w:h="16838"/>
      <w:pgMar w:top="1440" w:right="1440" w:bottom="1440" w:left="1440" w:header="708" w:footer="708" w:gutter="0"/>
      <w:pgNumType w:start="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091B61" w14:textId="77777777" w:rsidR="000D5F2D" w:rsidRDefault="000D5F2D">
      <w:pPr>
        <w:spacing w:after="0" w:line="240" w:lineRule="auto"/>
      </w:pPr>
      <w:r>
        <w:separator/>
      </w:r>
    </w:p>
  </w:endnote>
  <w:endnote w:type="continuationSeparator" w:id="0">
    <w:p w14:paraId="05AE9851" w14:textId="77777777" w:rsidR="000D5F2D" w:rsidRDefault="000D5F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Light">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919A10" w14:textId="77777777" w:rsidR="000D5F2D" w:rsidRDefault="000D5F2D">
      <w:pPr>
        <w:spacing w:after="0" w:line="240" w:lineRule="auto"/>
      </w:pPr>
      <w:r>
        <w:separator/>
      </w:r>
    </w:p>
  </w:footnote>
  <w:footnote w:type="continuationSeparator" w:id="0">
    <w:p w14:paraId="05D1F61A" w14:textId="77777777" w:rsidR="000D5F2D" w:rsidRDefault="000D5F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24" w14:textId="592CE42F" w:rsidR="001619CA" w:rsidRDefault="00225393">
    <w:pPr>
      <w:pBdr>
        <w:top w:val="nil"/>
        <w:left w:val="nil"/>
        <w:bottom w:val="nil"/>
        <w:right w:val="nil"/>
        <w:between w:val="nil"/>
      </w:pBdr>
      <w:tabs>
        <w:tab w:val="center" w:pos="4513"/>
        <w:tab w:val="right" w:pos="9026"/>
      </w:tabs>
      <w:spacing w:after="0" w:line="240" w:lineRule="auto"/>
      <w:jc w:val="right"/>
      <w:rPr>
        <w:color w:val="000000"/>
        <w:sz w:val="22"/>
        <w:szCs w:val="22"/>
      </w:rPr>
    </w:pPr>
    <w:r>
      <w:rPr>
        <w:color w:val="000000"/>
        <w:sz w:val="22"/>
        <w:szCs w:val="22"/>
      </w:rPr>
      <w:t xml:space="preserve">CRITICAL ANALYSIS                                                                                                                          </w:t>
    </w:r>
    <w:r>
      <w:rPr>
        <w:color w:val="000000"/>
        <w:sz w:val="22"/>
        <w:szCs w:val="22"/>
      </w:rPr>
      <w:fldChar w:fldCharType="begin"/>
    </w:r>
    <w:r>
      <w:rPr>
        <w:color w:val="000000"/>
        <w:sz w:val="22"/>
        <w:szCs w:val="22"/>
      </w:rPr>
      <w:instrText>PAGE</w:instrText>
    </w:r>
    <w:r>
      <w:rPr>
        <w:color w:val="000000"/>
        <w:sz w:val="22"/>
        <w:szCs w:val="22"/>
      </w:rPr>
      <w:fldChar w:fldCharType="separate"/>
    </w:r>
    <w:r w:rsidR="00063047">
      <w:rPr>
        <w:noProof/>
        <w:color w:val="000000"/>
        <w:sz w:val="22"/>
        <w:szCs w:val="22"/>
      </w:rPr>
      <w:t>5</w:t>
    </w:r>
    <w:r>
      <w:rPr>
        <w:color w:val="000000"/>
        <w:sz w:val="22"/>
        <w:szCs w:val="22"/>
      </w:rPr>
      <w:fldChar w:fldCharType="end"/>
    </w:r>
  </w:p>
  <w:p w14:paraId="00000025" w14:textId="77777777" w:rsidR="001619CA" w:rsidRDefault="001619CA">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23" w14:textId="77777777" w:rsidR="001619CA" w:rsidRDefault="00225393">
    <w:pPr>
      <w:pBdr>
        <w:top w:val="nil"/>
        <w:left w:val="nil"/>
        <w:bottom w:val="nil"/>
        <w:right w:val="nil"/>
        <w:between w:val="nil"/>
      </w:pBdr>
      <w:tabs>
        <w:tab w:val="center" w:pos="4513"/>
        <w:tab w:val="right" w:pos="9026"/>
      </w:tabs>
      <w:spacing w:after="0" w:line="240" w:lineRule="auto"/>
      <w:rPr>
        <w:color w:val="000000"/>
        <w:sz w:val="22"/>
        <w:szCs w:val="22"/>
      </w:rPr>
    </w:pPr>
    <w:r>
      <w:rPr>
        <w:color w:val="000000"/>
        <w:sz w:val="22"/>
        <w:szCs w:val="22"/>
      </w:rPr>
      <w:t xml:space="preserve">Running head: CRITICAL ANALYSIS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19CA"/>
    <w:rsid w:val="00063047"/>
    <w:rsid w:val="000D5F2D"/>
    <w:rsid w:val="001619CA"/>
    <w:rsid w:val="00225393"/>
    <w:rsid w:val="00244689"/>
    <w:rsid w:val="00693BD4"/>
    <w:rsid w:val="006B6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58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IN" w:eastAsia="en-US" w:bidi="ar-SA"/>
      </w:rPr>
    </w:rPrDefault>
    <w:pPrDefault>
      <w:pPr>
        <w:spacing w:after="16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5507"/>
  </w:style>
  <w:style w:type="paragraph" w:styleId="Heading1">
    <w:name w:val="heading 1"/>
    <w:basedOn w:val="Normal"/>
    <w:link w:val="Heading1Char"/>
    <w:uiPriority w:val="9"/>
    <w:qFormat/>
    <w:rsid w:val="00915507"/>
    <w:pPr>
      <w:spacing w:before="100" w:beforeAutospacing="1" w:after="100" w:afterAutospacing="1"/>
      <w:jc w:val="center"/>
      <w:outlineLvl w:val="0"/>
    </w:pPr>
    <w:rPr>
      <w:b/>
      <w:bCs/>
      <w:kern w:val="36"/>
      <w:sz w:val="28"/>
      <w:szCs w:val="48"/>
      <w:lang w:eastAsia="en-IN"/>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915507"/>
    <w:rPr>
      <w:rFonts w:ascii="Times New Roman" w:eastAsia="Times New Roman" w:hAnsi="Times New Roman" w:cs="Times New Roman"/>
      <w:b/>
      <w:bCs/>
      <w:kern w:val="36"/>
      <w:sz w:val="28"/>
      <w:szCs w:val="48"/>
      <w:lang w:eastAsia="en-IN"/>
    </w:rPr>
  </w:style>
  <w:style w:type="paragraph" w:styleId="NormalWeb">
    <w:name w:val="Normal (Web)"/>
    <w:basedOn w:val="Normal"/>
    <w:uiPriority w:val="99"/>
    <w:semiHidden/>
    <w:unhideWhenUsed/>
    <w:rsid w:val="00915507"/>
    <w:pPr>
      <w:spacing w:before="100" w:beforeAutospacing="1" w:after="100" w:afterAutospacing="1" w:line="240" w:lineRule="auto"/>
    </w:pPr>
    <w:rPr>
      <w:lang w:eastAsia="en-IN"/>
    </w:rPr>
  </w:style>
  <w:style w:type="character" w:styleId="Hyperlink">
    <w:name w:val="Hyperlink"/>
    <w:basedOn w:val="DefaultParagraphFont"/>
    <w:uiPriority w:val="99"/>
    <w:unhideWhenUsed/>
    <w:rsid w:val="00915507"/>
    <w:rPr>
      <w:color w:val="0000FF"/>
      <w:u w:val="single"/>
    </w:rPr>
  </w:style>
  <w:style w:type="paragraph" w:styleId="Header">
    <w:name w:val="header"/>
    <w:basedOn w:val="Normal"/>
    <w:link w:val="HeaderChar"/>
    <w:uiPriority w:val="99"/>
    <w:unhideWhenUsed/>
    <w:rsid w:val="009155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5507"/>
    <w:rPr>
      <w:rFonts w:ascii="Times New Roman" w:hAnsi="Times New Roman"/>
      <w:sz w:val="24"/>
    </w:rPr>
  </w:style>
  <w:style w:type="paragraph" w:styleId="Footer">
    <w:name w:val="footer"/>
    <w:basedOn w:val="Normal"/>
    <w:link w:val="FooterChar"/>
    <w:uiPriority w:val="99"/>
    <w:unhideWhenUsed/>
    <w:rsid w:val="009155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5507"/>
    <w:rPr>
      <w:rFonts w:ascii="Times New Roman" w:hAnsi="Times New Roman"/>
      <w:sz w:val="24"/>
    </w:rPr>
  </w:style>
  <w:style w:type="paragraph" w:styleId="TOCHeading">
    <w:name w:val="TOC Heading"/>
    <w:basedOn w:val="Heading1"/>
    <w:next w:val="Normal"/>
    <w:uiPriority w:val="39"/>
    <w:unhideWhenUsed/>
    <w:qFormat/>
    <w:rsid w:val="00915507"/>
    <w:pPr>
      <w:keepNext/>
      <w:keepLines/>
      <w:spacing w:before="240" w:beforeAutospacing="0" w:after="0" w:afterAutospacing="0" w:line="259" w:lineRule="auto"/>
      <w:jc w:val="left"/>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915507"/>
    <w:pPr>
      <w:spacing w:after="100"/>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IN" w:eastAsia="en-US" w:bidi="ar-SA"/>
      </w:rPr>
    </w:rPrDefault>
    <w:pPrDefault>
      <w:pPr>
        <w:spacing w:after="16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5507"/>
  </w:style>
  <w:style w:type="paragraph" w:styleId="Heading1">
    <w:name w:val="heading 1"/>
    <w:basedOn w:val="Normal"/>
    <w:link w:val="Heading1Char"/>
    <w:uiPriority w:val="9"/>
    <w:qFormat/>
    <w:rsid w:val="00915507"/>
    <w:pPr>
      <w:spacing w:before="100" w:beforeAutospacing="1" w:after="100" w:afterAutospacing="1"/>
      <w:jc w:val="center"/>
      <w:outlineLvl w:val="0"/>
    </w:pPr>
    <w:rPr>
      <w:b/>
      <w:bCs/>
      <w:kern w:val="36"/>
      <w:sz w:val="28"/>
      <w:szCs w:val="48"/>
      <w:lang w:eastAsia="en-IN"/>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915507"/>
    <w:rPr>
      <w:rFonts w:ascii="Times New Roman" w:eastAsia="Times New Roman" w:hAnsi="Times New Roman" w:cs="Times New Roman"/>
      <w:b/>
      <w:bCs/>
      <w:kern w:val="36"/>
      <w:sz w:val="28"/>
      <w:szCs w:val="48"/>
      <w:lang w:eastAsia="en-IN"/>
    </w:rPr>
  </w:style>
  <w:style w:type="paragraph" w:styleId="NormalWeb">
    <w:name w:val="Normal (Web)"/>
    <w:basedOn w:val="Normal"/>
    <w:uiPriority w:val="99"/>
    <w:semiHidden/>
    <w:unhideWhenUsed/>
    <w:rsid w:val="00915507"/>
    <w:pPr>
      <w:spacing w:before="100" w:beforeAutospacing="1" w:after="100" w:afterAutospacing="1" w:line="240" w:lineRule="auto"/>
    </w:pPr>
    <w:rPr>
      <w:lang w:eastAsia="en-IN"/>
    </w:rPr>
  </w:style>
  <w:style w:type="character" w:styleId="Hyperlink">
    <w:name w:val="Hyperlink"/>
    <w:basedOn w:val="DefaultParagraphFont"/>
    <w:uiPriority w:val="99"/>
    <w:unhideWhenUsed/>
    <w:rsid w:val="00915507"/>
    <w:rPr>
      <w:color w:val="0000FF"/>
      <w:u w:val="single"/>
    </w:rPr>
  </w:style>
  <w:style w:type="paragraph" w:styleId="Header">
    <w:name w:val="header"/>
    <w:basedOn w:val="Normal"/>
    <w:link w:val="HeaderChar"/>
    <w:uiPriority w:val="99"/>
    <w:unhideWhenUsed/>
    <w:rsid w:val="009155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5507"/>
    <w:rPr>
      <w:rFonts w:ascii="Times New Roman" w:hAnsi="Times New Roman"/>
      <w:sz w:val="24"/>
    </w:rPr>
  </w:style>
  <w:style w:type="paragraph" w:styleId="Footer">
    <w:name w:val="footer"/>
    <w:basedOn w:val="Normal"/>
    <w:link w:val="FooterChar"/>
    <w:uiPriority w:val="99"/>
    <w:unhideWhenUsed/>
    <w:rsid w:val="009155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5507"/>
    <w:rPr>
      <w:rFonts w:ascii="Times New Roman" w:hAnsi="Times New Roman"/>
      <w:sz w:val="24"/>
    </w:rPr>
  </w:style>
  <w:style w:type="paragraph" w:styleId="TOCHeading">
    <w:name w:val="TOC Heading"/>
    <w:basedOn w:val="Heading1"/>
    <w:next w:val="Normal"/>
    <w:uiPriority w:val="39"/>
    <w:unhideWhenUsed/>
    <w:qFormat/>
    <w:rsid w:val="00915507"/>
    <w:pPr>
      <w:keepNext/>
      <w:keepLines/>
      <w:spacing w:before="240" w:beforeAutospacing="0" w:after="0" w:afterAutospacing="0" w:line="259" w:lineRule="auto"/>
      <w:jc w:val="left"/>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915507"/>
    <w:pPr>
      <w:spacing w:after="100"/>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doi.org/10.1071/hc18089" TargetMode="External"/><Relationship Id="rId13" Type="http://schemas.openxmlformats.org/officeDocument/2006/relationships/hyperlink" Target="https://doi.org/10.34074/scop.3050018"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doi.org/10.34074/scop.3050018"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86/s12960-018-0312-x"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doi.org/10.1186/s12939-019-1082-3" TargetMode="External"/><Relationship Id="rId4" Type="http://schemas.openxmlformats.org/officeDocument/2006/relationships/settings" Target="settings.xml"/><Relationship Id="rId9" Type="http://schemas.openxmlformats.org/officeDocument/2006/relationships/hyperlink" Target="https://doi.org/10.1071/hc18089"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REQXofpdJcBaAZdpNvYHZ1McyOQ==">AMUW2mVD17ugQYYkTJMjBXFqgU1sSxMsyZp6DmrzvP3MAhbLqtTAPsCawFbHkcuYROXywv3Dc0e8TcHYeaVwH6XuNfjLT7l5xlBREK29JlzHbEnA1sRrswsPYz+aSJVPeEVVt9rvDKM5VvbojYIxh/uburwRKGgFVU4XFiDDopF+tIkfX8BrsM0tZut/FrPWAudBVJm79XfQ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949</Words>
  <Characters>5414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AMICI-1</cp:lastModifiedBy>
  <cp:revision>2</cp:revision>
  <dcterms:created xsi:type="dcterms:W3CDTF">2021-03-10T12:31:00Z</dcterms:created>
  <dcterms:modified xsi:type="dcterms:W3CDTF">2021-03-10T12:31:00Z</dcterms:modified>
</cp:coreProperties>
</file>