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4C8" w:rsidRDefault="00C344C8" w:rsidP="00C344C8">
      <w:r>
        <w:t>Slide 1: Title Slide</w:t>
      </w:r>
    </w:p>
    <w:p w:rsidR="00C344C8" w:rsidRDefault="00C344C8" w:rsidP="00C344C8">
      <w:r w:rsidRPr="00C344C8">
        <w:t xml:space="preserve">Hello, I’m sharing a clinical case about managing a statin-intolerant Māori man using </w:t>
      </w:r>
      <w:proofErr w:type="spellStart"/>
      <w:r w:rsidRPr="00C344C8">
        <w:t>rosuvastatin</w:t>
      </w:r>
      <w:proofErr w:type="spellEnd"/>
      <w:r w:rsidRPr="00C344C8">
        <w:t>. This case looks closely at his individual needs, how the drug works in his body, possible drug interactions, and cultural safety. It also combines evidence-based practice with principles of Māori health equity, fitti</w:t>
      </w:r>
      <w:r>
        <w:t>ng advanced nursing leadership.</w:t>
      </w:r>
    </w:p>
    <w:p w:rsidR="00C344C8" w:rsidRDefault="00C344C8" w:rsidP="00C344C8">
      <w:r>
        <w:rPr>
          <w:rFonts w:ascii="Segoe UI Symbol" w:hAnsi="Segoe UI Symbol" w:cs="Segoe UI Symbol"/>
        </w:rPr>
        <w:t>🔷</w:t>
      </w:r>
      <w:r>
        <w:t xml:space="preserve"> Slide 2: Patient Overview</w:t>
      </w:r>
      <w:bookmarkStart w:id="0" w:name="_GoBack"/>
      <w:bookmarkEnd w:id="0"/>
    </w:p>
    <w:p w:rsidR="00C344C8" w:rsidRPr="00C344C8" w:rsidRDefault="00C344C8" w:rsidP="00C344C8">
      <w:r w:rsidRPr="00C344C8">
        <w:t xml:space="preserve">This 53-year-old Māori man has a history of acute coronary syndrome, angioplasty, high blood pressure, high cholesterol, and prediabetes. He previously had muscle inflammation from pravastatin, simvastatin, and </w:t>
      </w:r>
      <w:r w:rsidRPr="00C344C8">
        <w:t xml:space="preserve">shown </w:t>
      </w:r>
      <w:r w:rsidRPr="00C344C8">
        <w:t xml:space="preserve">atorvastatin. His family has a history of early heart problems. He is now trying </w:t>
      </w:r>
      <w:proofErr w:type="spellStart"/>
      <w:r w:rsidRPr="00C344C8">
        <w:t>rosuvastatin</w:t>
      </w:r>
      <w:proofErr w:type="spellEnd"/>
      <w:r w:rsidRPr="00C344C8">
        <w:t xml:space="preserve"> because it is better tolerated, as by his current lipid levels: LDL at 3.5 and total cholesterol at 5.6 </w:t>
      </w:r>
      <w:proofErr w:type="spellStart"/>
      <w:r w:rsidRPr="00C344C8">
        <w:t>mmol</w:t>
      </w:r>
      <w:proofErr w:type="spellEnd"/>
      <w:r w:rsidRPr="00C344C8">
        <w:t>/L.</w:t>
      </w:r>
    </w:p>
    <w:p w:rsidR="00C344C8" w:rsidRDefault="00C344C8" w:rsidP="00C344C8"/>
    <w:p w:rsidR="00C344C8" w:rsidRDefault="00C344C8" w:rsidP="00C344C8"/>
    <w:p w:rsidR="00C344C8" w:rsidRDefault="00C344C8" w:rsidP="00C344C8">
      <w:r>
        <w:rPr>
          <w:rFonts w:ascii="Segoe UI Symbol" w:hAnsi="Segoe UI Symbol" w:cs="Segoe UI Symbol"/>
        </w:rPr>
        <w:t>🔷</w:t>
      </w:r>
      <w:r>
        <w:t xml:space="preserve"> Slide 3: Epidemiology and Health Equity</w:t>
      </w:r>
    </w:p>
    <w:p w:rsidR="00C344C8" w:rsidRDefault="00C344C8" w:rsidP="00C344C8">
      <w:r>
        <w:t xml:space="preserve">"Māori populations have significantly higher cardiovascular mortality rates compared to non-Māori. This disparity stems from structural inequities, delayed diagnoses, and </w:t>
      </w:r>
      <w:proofErr w:type="spellStart"/>
      <w:r>
        <w:t>underutilisation</w:t>
      </w:r>
      <w:proofErr w:type="spellEnd"/>
      <w:r>
        <w:t xml:space="preserve"> of evidence-based pharmacological interventions. Integrating culturally safe care is vital. Prescribing </w:t>
      </w:r>
      <w:proofErr w:type="spellStart"/>
      <w:r>
        <w:t>rosuvastatin</w:t>
      </w:r>
      <w:proofErr w:type="spellEnd"/>
      <w:r>
        <w:t xml:space="preserve"> in this case supports equity by offering effective therapy without the adverse effects that previously hindered compliance."</w:t>
      </w:r>
    </w:p>
    <w:p w:rsidR="00C344C8" w:rsidRDefault="00C344C8" w:rsidP="00C344C8"/>
    <w:p w:rsidR="00C344C8" w:rsidRDefault="00C344C8" w:rsidP="00C344C8">
      <w:r>
        <w:rPr>
          <w:rFonts w:ascii="Segoe UI Symbol" w:hAnsi="Segoe UI Symbol" w:cs="Segoe UI Symbol"/>
        </w:rPr>
        <w:t>🔷</w:t>
      </w:r>
      <w:r>
        <w:t xml:space="preserve"> Slide 4: Clinical Presentation</w:t>
      </w:r>
    </w:p>
    <w:p w:rsidR="00C344C8" w:rsidRDefault="00C344C8" w:rsidP="00C344C8">
      <w:r>
        <w:lastRenderedPageBreak/>
        <w:t xml:space="preserve">"The patient is clinically stable, with mild left ventricular hypertrophy and no acute symptoms. His medications include aspirin, ezetimibe, candesartan, </w:t>
      </w:r>
      <w:proofErr w:type="spellStart"/>
      <w:r>
        <w:t>bezafibrate</w:t>
      </w:r>
      <w:proofErr w:type="spellEnd"/>
      <w:r>
        <w:t xml:space="preserve">, </w:t>
      </w:r>
      <w:proofErr w:type="spellStart"/>
      <w:r>
        <w:t>Trulicity</w:t>
      </w:r>
      <w:proofErr w:type="spellEnd"/>
      <w:r>
        <w:t xml:space="preserve">, and diclofenac. He discontinued prior statins due to severe muscle aches. </w:t>
      </w:r>
      <w:proofErr w:type="spellStart"/>
      <w:r>
        <w:t>Rosuvastatin</w:t>
      </w:r>
      <w:proofErr w:type="spellEnd"/>
      <w:r>
        <w:t xml:space="preserve"> was initiated cautiously due to its </w:t>
      </w:r>
      <w:proofErr w:type="spellStart"/>
      <w:r>
        <w:t>favourable</w:t>
      </w:r>
      <w:proofErr w:type="spellEnd"/>
      <w:r>
        <w:t xml:space="preserve"> profile and the need to maintain aggressive lipid-lowering following angioplasty."</w:t>
      </w:r>
    </w:p>
    <w:p w:rsidR="00C344C8" w:rsidRDefault="00C344C8" w:rsidP="00C344C8"/>
    <w:p w:rsidR="00C344C8" w:rsidRDefault="00C344C8" w:rsidP="00C344C8">
      <w:r>
        <w:rPr>
          <w:rFonts w:ascii="Segoe UI Symbol" w:hAnsi="Segoe UI Symbol" w:cs="Segoe UI Symbol"/>
        </w:rPr>
        <w:t>🔷</w:t>
      </w:r>
      <w:r>
        <w:t xml:space="preserve"> Slide 5: Rationale for </w:t>
      </w:r>
      <w:proofErr w:type="spellStart"/>
      <w:r>
        <w:t>Rosuvastatin</w:t>
      </w:r>
      <w:proofErr w:type="spellEnd"/>
    </w:p>
    <w:p w:rsidR="00C344C8" w:rsidRDefault="00C344C8" w:rsidP="00C344C8">
      <w:r>
        <w:t>"</w:t>
      </w:r>
      <w:proofErr w:type="spellStart"/>
      <w:r>
        <w:t>Rosuvastatin</w:t>
      </w:r>
      <w:proofErr w:type="spellEnd"/>
      <w:r>
        <w:t xml:space="preserve"> is chosen for its high potency and reduced risk of muscle-related side effects due to its hydrophilic structure. It has minimal CYP3A4 metabolism, lowering drug interaction risk. Its long half-life allows once-daily dosing, improving adherence. Clinical studies support its superior LDL-lowering effect, especially in statin-intolerant patients like this one."</w:t>
      </w:r>
    </w:p>
    <w:p w:rsidR="00C344C8" w:rsidRDefault="00C344C8" w:rsidP="00C344C8"/>
    <w:p w:rsidR="00C344C8" w:rsidRDefault="00C344C8" w:rsidP="00C344C8">
      <w:r>
        <w:rPr>
          <w:rFonts w:ascii="Segoe UI Symbol" w:hAnsi="Segoe UI Symbol" w:cs="Segoe UI Symbol"/>
        </w:rPr>
        <w:t>🔷</w:t>
      </w:r>
      <w:r>
        <w:t xml:space="preserve"> Slide 6: Baseline and Monitoring</w:t>
      </w:r>
    </w:p>
    <w:p w:rsidR="00C344C8" w:rsidRDefault="00C344C8" w:rsidP="00C344C8">
      <w:r>
        <w:t xml:space="preserve">"Prior to prescribing </w:t>
      </w:r>
      <w:proofErr w:type="spellStart"/>
      <w:r>
        <w:t>rosuvastatin</w:t>
      </w:r>
      <w:proofErr w:type="spellEnd"/>
      <w:r>
        <w:t>, CK, LFTs, and renal function were reviewed. Ongoing monitoring includes repeat lipid panels every 6–12 weeks and symptom diaries to detect any recurrence of muscle issues. Patient safety is reinforced through proactive communication and early identification of intolerance signs during the titration period."</w:t>
      </w:r>
    </w:p>
    <w:p w:rsidR="00C344C8" w:rsidRDefault="00C344C8" w:rsidP="00C344C8"/>
    <w:p w:rsidR="00C344C8" w:rsidRDefault="00C344C8" w:rsidP="00C344C8">
      <w:r>
        <w:rPr>
          <w:rFonts w:ascii="Segoe UI Symbol" w:hAnsi="Segoe UI Symbol" w:cs="Segoe UI Symbol"/>
        </w:rPr>
        <w:t>🔷</w:t>
      </w:r>
      <w:r>
        <w:t xml:space="preserve"> Slide 7: Pharmacokinetics of </w:t>
      </w:r>
      <w:proofErr w:type="spellStart"/>
      <w:r>
        <w:t>Rosuvastatin</w:t>
      </w:r>
      <w:proofErr w:type="spellEnd"/>
    </w:p>
    <w:p w:rsidR="00C344C8" w:rsidRDefault="00C344C8" w:rsidP="00C344C8">
      <w:r>
        <w:t>"</w:t>
      </w:r>
      <w:proofErr w:type="spellStart"/>
      <w:r>
        <w:t>Rosuvastatin</w:t>
      </w:r>
      <w:proofErr w:type="spellEnd"/>
      <w:r>
        <w:t xml:space="preserve"> has a 20% bioavailability, minimal protein binding, and limited hepatic metabolism, mainly via CYP2C9. It's excreted unchanged in feces and has a 19-hour half-life. </w:t>
      </w:r>
      <w:r>
        <w:lastRenderedPageBreak/>
        <w:t>These features support its use in complex patients with comorbidities or polypharmacy, like this patient, while maintaining effective lipid management."</w:t>
      </w:r>
    </w:p>
    <w:p w:rsidR="00C344C8" w:rsidRDefault="00C344C8" w:rsidP="00C344C8"/>
    <w:p w:rsidR="00C344C8" w:rsidRDefault="00C344C8" w:rsidP="00C344C8">
      <w:r>
        <w:rPr>
          <w:rFonts w:ascii="Segoe UI Symbol" w:hAnsi="Segoe UI Symbol" w:cs="Segoe UI Symbol"/>
        </w:rPr>
        <w:t>🔷</w:t>
      </w:r>
      <w:r>
        <w:t xml:space="preserve"> Slide 8: Pharmacodynamics</w:t>
      </w:r>
    </w:p>
    <w:p w:rsidR="00C344C8" w:rsidRDefault="00C344C8" w:rsidP="00C344C8">
      <w:r>
        <w:t>"</w:t>
      </w:r>
      <w:proofErr w:type="spellStart"/>
      <w:r>
        <w:t>Rosuvastatin</w:t>
      </w:r>
      <w:proofErr w:type="spellEnd"/>
      <w:r>
        <w:t xml:space="preserve"> inhibits HMG-CoA reductase, decreasing cholesterol synthesis and increasing LDL receptor expression on hepatocytes. It lowers LDL levels while improving vascular health through anti-inflammatory actions and reduced endothelial dysfunction. This dual benefit is critical for secondary prevention in cardiovascular patients, particularly with existing vascular damage."</w:t>
      </w:r>
    </w:p>
    <w:p w:rsidR="00C344C8" w:rsidRDefault="00C344C8" w:rsidP="00C344C8"/>
    <w:p w:rsidR="00C344C8" w:rsidRDefault="00C344C8" w:rsidP="00C344C8">
      <w:r>
        <w:rPr>
          <w:rFonts w:ascii="Segoe UI Symbol" w:hAnsi="Segoe UI Symbol" w:cs="Segoe UI Symbol"/>
        </w:rPr>
        <w:t>🔷</w:t>
      </w:r>
      <w:r>
        <w:t xml:space="preserve"> Slide 9: Drug Interactions</w:t>
      </w:r>
    </w:p>
    <w:p w:rsidR="00C344C8" w:rsidRDefault="00C344C8" w:rsidP="00C344C8">
      <w:r>
        <w:t>"</w:t>
      </w:r>
      <w:proofErr w:type="spellStart"/>
      <w:r>
        <w:t>Bezafibrate</w:t>
      </w:r>
      <w:proofErr w:type="spellEnd"/>
      <w:r>
        <w:t xml:space="preserve"> and </w:t>
      </w:r>
      <w:proofErr w:type="spellStart"/>
      <w:r>
        <w:t>rosuvastatin</w:t>
      </w:r>
      <w:proofErr w:type="spellEnd"/>
      <w:r>
        <w:t xml:space="preserve"> together increase myopathy risk and require close monitoring. Diclofenac may exacerbate renal burden. Ezetimibe complements </w:t>
      </w:r>
      <w:proofErr w:type="spellStart"/>
      <w:r>
        <w:t>rosuvastatin</w:t>
      </w:r>
      <w:proofErr w:type="spellEnd"/>
      <w:r>
        <w:t xml:space="preserve"> with synergistic LDL-lowering effects. </w:t>
      </w:r>
      <w:proofErr w:type="spellStart"/>
      <w:r>
        <w:t>Trulicity</w:t>
      </w:r>
      <w:proofErr w:type="spellEnd"/>
      <w:r>
        <w:t xml:space="preserve">, though safe </w:t>
      </w:r>
      <w:proofErr w:type="spellStart"/>
      <w:r>
        <w:t>pharmacokinetically</w:t>
      </w:r>
      <w:proofErr w:type="spellEnd"/>
      <w:r>
        <w:t>, may obscure muscle-related symptoms. Monitoring is essential to manage these interactions and ensure therapeutic effectiveness without compromising safety."</w:t>
      </w:r>
    </w:p>
    <w:p w:rsidR="00C344C8" w:rsidRDefault="00C344C8" w:rsidP="00C344C8"/>
    <w:p w:rsidR="00C344C8" w:rsidRDefault="00C344C8" w:rsidP="00C344C8">
      <w:r>
        <w:rPr>
          <w:rFonts w:ascii="Segoe UI Symbol" w:hAnsi="Segoe UI Symbol" w:cs="Segoe UI Symbol"/>
        </w:rPr>
        <w:t>🔷</w:t>
      </w:r>
      <w:r>
        <w:t xml:space="preserve"> Slide 10: Communication with Patient and </w:t>
      </w:r>
      <w:proofErr w:type="spellStart"/>
      <w:r>
        <w:t>Whānau</w:t>
      </w:r>
      <w:proofErr w:type="spellEnd"/>
    </w:p>
    <w:p w:rsidR="00C344C8" w:rsidRDefault="00C344C8" w:rsidP="00C344C8">
      <w:r>
        <w:t xml:space="preserve">"Communication focused on explaining </w:t>
      </w:r>
      <w:proofErr w:type="spellStart"/>
      <w:r>
        <w:t>rosuvastatin’s</w:t>
      </w:r>
      <w:proofErr w:type="spellEnd"/>
      <w:r>
        <w:t xml:space="preserve"> tolerability and symptom monitoring. We used a teach-back method and involved the </w:t>
      </w:r>
      <w:proofErr w:type="spellStart"/>
      <w:r>
        <w:t>whānau</w:t>
      </w:r>
      <w:proofErr w:type="spellEnd"/>
      <w:r>
        <w:t xml:space="preserve"> to reinforce understanding. Visual tools and language-specific education supported compliance. This partnership approach </w:t>
      </w:r>
      <w:r>
        <w:lastRenderedPageBreak/>
        <w:t>aligns with culturally responsive nursing and enhances adherence while fostering long-term therapeutic trust."</w:t>
      </w:r>
    </w:p>
    <w:p w:rsidR="00C344C8" w:rsidRDefault="00C344C8" w:rsidP="00C344C8"/>
    <w:p w:rsidR="00C344C8" w:rsidRDefault="00C344C8" w:rsidP="00C344C8">
      <w:r>
        <w:rPr>
          <w:rFonts w:ascii="Segoe UI Symbol" w:hAnsi="Segoe UI Symbol" w:cs="Segoe UI Symbol"/>
        </w:rPr>
        <w:t>🔷</w:t>
      </w:r>
      <w:r>
        <w:t xml:space="preserve"> Slide 11: Compliance Support Strategies</w:t>
      </w:r>
    </w:p>
    <w:p w:rsidR="00C344C8" w:rsidRDefault="00C344C8" w:rsidP="00C344C8">
      <w:r>
        <w:t xml:space="preserve">"Adherence was supported using daily reminders, pillboxes, and simplified medication schedules. Side effect education empowered the patient to report symptoms early. Culturally appropriate resources and </w:t>
      </w:r>
      <w:proofErr w:type="spellStart"/>
      <w:r>
        <w:t>whānau</w:t>
      </w:r>
      <w:proofErr w:type="spellEnd"/>
      <w:r>
        <w:t xml:space="preserve"> involvement were used to encourage shared responsibility. These strategies align with best practice for statin-intolerant individuals facing complex medication regimens."</w:t>
      </w:r>
    </w:p>
    <w:p w:rsidR="00C344C8" w:rsidRDefault="00C344C8" w:rsidP="00C344C8"/>
    <w:p w:rsidR="00C344C8" w:rsidRDefault="00C344C8" w:rsidP="00C344C8">
      <w:r>
        <w:rPr>
          <w:rFonts w:ascii="Segoe UI Symbol" w:hAnsi="Segoe UI Symbol" w:cs="Segoe UI Symbol"/>
        </w:rPr>
        <w:t>🔷</w:t>
      </w:r>
      <w:r>
        <w:t xml:space="preserve"> Slide 12: </w:t>
      </w:r>
      <w:proofErr w:type="spellStart"/>
      <w:r>
        <w:t>Rongoā</w:t>
      </w:r>
      <w:proofErr w:type="spellEnd"/>
      <w:r>
        <w:t xml:space="preserve"> Māori Integration</w:t>
      </w:r>
    </w:p>
    <w:p w:rsidR="00C344C8" w:rsidRDefault="00C344C8" w:rsidP="00C344C8">
      <w:r>
        <w:t xml:space="preserve">"Incorporating </w:t>
      </w:r>
      <w:proofErr w:type="spellStart"/>
      <w:r>
        <w:t>Rongoā</w:t>
      </w:r>
      <w:proofErr w:type="spellEnd"/>
      <w:r>
        <w:t xml:space="preserve"> Māori was vital. The patient expressed interest in kawakawa tea and traditional healing. Discussions included possible herb-drug interactions and integrating cultural beliefs into therapy. This approach respects Māori worldviews and affirms the patient’s identity, supporting spiritual wellness and adherence through culturally safe, bicultural nursing."</w:t>
      </w:r>
    </w:p>
    <w:p w:rsidR="00C344C8" w:rsidRDefault="00C344C8" w:rsidP="00C344C8"/>
    <w:p w:rsidR="00C344C8" w:rsidRDefault="00C344C8" w:rsidP="00C344C8">
      <w:r>
        <w:rPr>
          <w:rFonts w:ascii="Segoe UI Symbol" w:hAnsi="Segoe UI Symbol" w:cs="Segoe UI Symbol"/>
        </w:rPr>
        <w:t>🔷</w:t>
      </w:r>
      <w:r>
        <w:t xml:space="preserve"> Slide 13: Reflection on Future Practice</w:t>
      </w:r>
    </w:p>
    <w:p w:rsidR="00C344C8" w:rsidRDefault="00C344C8" w:rsidP="00C344C8">
      <w:r>
        <w:t xml:space="preserve">"This case underscored the importance of early recognition of statin intolerance. I would initiate </w:t>
      </w:r>
      <w:proofErr w:type="spellStart"/>
      <w:r>
        <w:t>rosuvastatin</w:t>
      </w:r>
      <w:proofErr w:type="spellEnd"/>
      <w:r>
        <w:t xml:space="preserve"> sooner and adopt a stronger equity lens. Collaborating with cultural health workers and strengthening </w:t>
      </w:r>
      <w:proofErr w:type="spellStart"/>
      <w:r>
        <w:t>whānau</w:t>
      </w:r>
      <w:proofErr w:type="spellEnd"/>
      <w:r>
        <w:t xml:space="preserve"> engagement would enhance adherence. I’ll also integrate patient-led monitoring and equity considerations into future pharmacological plans."</w:t>
      </w:r>
    </w:p>
    <w:p w:rsidR="00C344C8" w:rsidRDefault="00C344C8" w:rsidP="00C344C8"/>
    <w:p w:rsidR="00C344C8" w:rsidRDefault="00C344C8" w:rsidP="00C344C8">
      <w:r>
        <w:rPr>
          <w:rFonts w:ascii="Segoe UI Symbol" w:hAnsi="Segoe UI Symbol" w:cs="Segoe UI Symbol"/>
        </w:rPr>
        <w:t>🔷</w:t>
      </w:r>
      <w:r>
        <w:t xml:space="preserve"> Slide 14: Role of Advanced Pharmacological Leadership</w:t>
      </w:r>
    </w:p>
    <w:p w:rsidR="00C344C8" w:rsidRDefault="00C344C8" w:rsidP="00C344C8">
      <w:r>
        <w:t>"As advanced practice nurses, we must lead in ensuring equitable, evidence-based pharmacotherapy. This includes anticipating drug reactions, guiding treatment selection, and incorporating cultural frameworks. Advocacy and leadership are key—especially when working with Indigenous patients facing systemic barriers to care."</w:t>
      </w:r>
    </w:p>
    <w:p w:rsidR="00C344C8" w:rsidRDefault="00C344C8" w:rsidP="00C344C8"/>
    <w:p w:rsidR="00C344C8" w:rsidRDefault="00C344C8" w:rsidP="00C344C8">
      <w:r>
        <w:rPr>
          <w:rFonts w:ascii="Segoe UI Symbol" w:hAnsi="Segoe UI Symbol" w:cs="Segoe UI Symbol"/>
        </w:rPr>
        <w:t>🔷</w:t>
      </w:r>
      <w:r>
        <w:t xml:space="preserve"> Slide 15: Visual Summary</w:t>
      </w:r>
    </w:p>
    <w:p w:rsidR="00C344C8" w:rsidRDefault="00C344C8" w:rsidP="00C344C8">
      <w:r>
        <w:t xml:space="preserve">"This chart </w:t>
      </w:r>
      <w:proofErr w:type="spellStart"/>
      <w:r>
        <w:t>summarises</w:t>
      </w:r>
      <w:proofErr w:type="spellEnd"/>
      <w:r>
        <w:t xml:space="preserve"> our approach: </w:t>
      </w:r>
      <w:proofErr w:type="spellStart"/>
      <w:r>
        <w:t>rosuvastatin</w:t>
      </w:r>
      <w:proofErr w:type="spellEnd"/>
      <w:r>
        <w:t xml:space="preserve"> was preferred due to high efficacy and tolerability. Ezetimibe was maintained. Diclofenac and </w:t>
      </w:r>
      <w:proofErr w:type="spellStart"/>
      <w:r>
        <w:t>bezafibrate</w:t>
      </w:r>
      <w:proofErr w:type="spellEnd"/>
      <w:r>
        <w:t xml:space="preserve"> were flagged for caution. Communication, cultural safety, and monitoring all supported optimal outcomes. This holistic, patient-</w:t>
      </w:r>
      <w:proofErr w:type="spellStart"/>
      <w:r>
        <w:t>centred</w:t>
      </w:r>
      <w:proofErr w:type="spellEnd"/>
      <w:r>
        <w:t xml:space="preserve"> approach defines modern nursing pharmacological leadership."</w:t>
      </w:r>
    </w:p>
    <w:p w:rsidR="00C344C8" w:rsidRDefault="00C344C8" w:rsidP="00C344C8"/>
    <w:p w:rsidR="00C344C8" w:rsidRDefault="00C344C8" w:rsidP="00C344C8">
      <w:r>
        <w:rPr>
          <w:rFonts w:ascii="Segoe UI Symbol" w:hAnsi="Segoe UI Symbol" w:cs="Segoe UI Symbol"/>
        </w:rPr>
        <w:t>🔷</w:t>
      </w:r>
      <w:r>
        <w:t xml:space="preserve"> Slide 16: Conclusion</w:t>
      </w:r>
    </w:p>
    <w:p w:rsidR="00C344C8" w:rsidRDefault="00C344C8" w:rsidP="00C344C8">
      <w:r>
        <w:t>"</w:t>
      </w:r>
      <w:proofErr w:type="spellStart"/>
      <w:r>
        <w:t>Rosuvastatin</w:t>
      </w:r>
      <w:proofErr w:type="spellEnd"/>
      <w:r>
        <w:t xml:space="preserve"> was an effective and safe alternative for a statin-intolerant, high-risk Māori patient. Integration of cultural care and pharmacological precision ensured safe treatment. This case reinforces the importance of nurse-led, equity-focused interventions and proactive engagement with both clinical guidelines and Indigenous health values."</w:t>
      </w:r>
    </w:p>
    <w:p w:rsidR="00A44B12" w:rsidRDefault="00A44B12"/>
    <w:sectPr w:rsidR="00A44B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4C8"/>
    <w:rsid w:val="005E4133"/>
    <w:rsid w:val="00A44B12"/>
    <w:rsid w:val="00C344C8"/>
    <w:rsid w:val="00C405AA"/>
    <w:rsid w:val="00FE65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B2849"/>
  <w15:chartTrackingRefBased/>
  <w15:docId w15:val="{D800FC5A-1153-4658-A712-F0F1B1FF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480" w:lineRule="auto"/>
        <w:ind w:firstLine="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133"/>
    <w:rPr>
      <w:rFonts w:ascii="Times New Roman" w:hAnsi="Times New Roman"/>
      <w:sz w:val="24"/>
      <w:lang w:val="en-US"/>
    </w:rPr>
  </w:style>
  <w:style w:type="paragraph" w:styleId="Heading1">
    <w:name w:val="heading 1"/>
    <w:basedOn w:val="Normal"/>
    <w:next w:val="Normal"/>
    <w:link w:val="Heading1Char"/>
    <w:uiPriority w:val="9"/>
    <w:qFormat/>
    <w:rsid w:val="00FE65AD"/>
    <w:pPr>
      <w:keepNext/>
      <w:keepLines/>
      <w:spacing w:before="240" w:after="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semiHidden/>
    <w:unhideWhenUsed/>
    <w:qFormat/>
    <w:rsid w:val="00C405AA"/>
    <w:pPr>
      <w:keepNext/>
      <w:keepLines/>
      <w:spacing w:before="40" w:after="0"/>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5AD"/>
    <w:rPr>
      <w:rFonts w:ascii="Times New Roman" w:eastAsiaTheme="majorEastAsia" w:hAnsi="Times New Roman" w:cstheme="majorBidi"/>
      <w:b/>
      <w:color w:val="000000" w:themeColor="text1"/>
      <w:sz w:val="28"/>
      <w:szCs w:val="32"/>
      <w:lang w:val="en-US"/>
    </w:rPr>
  </w:style>
  <w:style w:type="character" w:customStyle="1" w:styleId="Heading2Char">
    <w:name w:val="Heading 2 Char"/>
    <w:basedOn w:val="DefaultParagraphFont"/>
    <w:link w:val="Heading2"/>
    <w:uiPriority w:val="9"/>
    <w:semiHidden/>
    <w:rsid w:val="00C405AA"/>
    <w:rPr>
      <w:rFonts w:ascii="Times New Roman" w:eastAsiaTheme="majorEastAsia" w:hAnsi="Times New Roman" w:cstheme="majorBidi"/>
      <w:b/>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978350">
      <w:bodyDiv w:val="1"/>
      <w:marLeft w:val="0"/>
      <w:marRight w:val="0"/>
      <w:marTop w:val="0"/>
      <w:marBottom w:val="0"/>
      <w:divBdr>
        <w:top w:val="none" w:sz="0" w:space="0" w:color="auto"/>
        <w:left w:val="none" w:sz="0" w:space="0" w:color="auto"/>
        <w:bottom w:val="none" w:sz="0" w:space="0" w:color="auto"/>
        <w:right w:val="none" w:sz="0" w:space="0" w:color="auto"/>
      </w:divBdr>
    </w:div>
    <w:div w:id="521285518">
      <w:bodyDiv w:val="1"/>
      <w:marLeft w:val="0"/>
      <w:marRight w:val="0"/>
      <w:marTop w:val="0"/>
      <w:marBottom w:val="0"/>
      <w:divBdr>
        <w:top w:val="none" w:sz="0" w:space="0" w:color="auto"/>
        <w:left w:val="none" w:sz="0" w:space="0" w:color="auto"/>
        <w:bottom w:val="none" w:sz="0" w:space="0" w:color="auto"/>
        <w:right w:val="none" w:sz="0" w:space="0" w:color="auto"/>
      </w:divBdr>
    </w:div>
    <w:div w:id="682242594">
      <w:bodyDiv w:val="1"/>
      <w:marLeft w:val="0"/>
      <w:marRight w:val="0"/>
      <w:marTop w:val="0"/>
      <w:marBottom w:val="0"/>
      <w:divBdr>
        <w:top w:val="none" w:sz="0" w:space="0" w:color="auto"/>
        <w:left w:val="none" w:sz="0" w:space="0" w:color="auto"/>
        <w:bottom w:val="none" w:sz="0" w:space="0" w:color="auto"/>
        <w:right w:val="none" w:sz="0" w:space="0" w:color="auto"/>
      </w:divBdr>
    </w:div>
    <w:div w:id="105149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979</Words>
  <Characters>5585</Characters>
  <Application>Microsoft Office Word</Application>
  <DocSecurity>0</DocSecurity>
  <Lines>46</Lines>
  <Paragraphs>13</Paragraphs>
  <ScaleCrop>false</ScaleCrop>
  <Company>HP</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2025-06-11T05:38:00Z</dcterms:created>
  <dcterms:modified xsi:type="dcterms:W3CDTF">2025-06-11T05:41:00Z</dcterms:modified>
</cp:coreProperties>
</file>